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38" w:rsidRPr="00B726DA" w:rsidRDefault="00B726DA" w:rsidP="00B726DA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6DA">
        <w:rPr>
          <w:rFonts w:ascii="Times New Roman" w:hAnsi="Times New Roman" w:cs="Times New Roman"/>
          <w:b/>
          <w:sz w:val="24"/>
          <w:szCs w:val="24"/>
        </w:rPr>
        <w:t>Silabus</w:t>
      </w:r>
      <w:proofErr w:type="spellEnd"/>
      <w:r w:rsidR="00931A38" w:rsidRPr="00B726DA">
        <w:rPr>
          <w:rFonts w:ascii="Times New Roman" w:hAnsi="Times New Roman" w:cs="Times New Roman"/>
          <w:b/>
          <w:sz w:val="24"/>
          <w:szCs w:val="24"/>
        </w:rPr>
        <w:tab/>
      </w:r>
    </w:p>
    <w:p w:rsidR="00B726DA" w:rsidRPr="00BA34C7" w:rsidRDefault="00B726DA" w:rsidP="00B726DA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0"/>
          <w:szCs w:val="20"/>
        </w:rPr>
      </w:pPr>
    </w:p>
    <w:p w:rsidR="00B726DA" w:rsidRDefault="00B726DA" w:rsidP="00BA3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Mata </w:t>
      </w:r>
      <w:proofErr w:type="spellStart"/>
      <w:r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Kimia</w:t>
      </w:r>
      <w:bookmarkStart w:id="0" w:name="_GoBack"/>
      <w:bookmarkEnd w:id="0"/>
    </w:p>
    <w:p w:rsidR="00931A38" w:rsidRPr="00BA34C7" w:rsidRDefault="00931A38" w:rsidP="00B72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A34C7">
        <w:rPr>
          <w:rFonts w:ascii="Times New Roman" w:hAnsi="Times New Roman" w:cs="Times New Roman"/>
          <w:sz w:val="20"/>
          <w:szCs w:val="20"/>
        </w:rPr>
        <w:t>Satuan</w:t>
      </w:r>
      <w:proofErr w:type="spellEnd"/>
      <w:r w:rsidRPr="00BA34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34C7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Pr="00BA34C7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4C5799" w:rsidRPr="00BA34C7">
        <w:rPr>
          <w:rFonts w:ascii="Times New Roman" w:hAnsi="Times New Roman" w:cs="Times New Roman"/>
          <w:sz w:val="20"/>
          <w:szCs w:val="20"/>
        </w:rPr>
        <w:t>SMA / MA</w:t>
      </w:r>
    </w:p>
    <w:p w:rsidR="00931A38" w:rsidRPr="00BA34C7" w:rsidRDefault="00931A38" w:rsidP="00BA3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A34C7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BA34C7">
        <w:rPr>
          <w:rFonts w:ascii="Times New Roman" w:hAnsi="Times New Roman" w:cs="Times New Roman"/>
          <w:sz w:val="20"/>
          <w:szCs w:val="20"/>
        </w:rPr>
        <w:tab/>
      </w:r>
      <w:r w:rsidRPr="00BA34C7">
        <w:rPr>
          <w:rFonts w:ascii="Times New Roman" w:hAnsi="Times New Roman" w:cs="Times New Roman"/>
          <w:sz w:val="20"/>
          <w:szCs w:val="20"/>
        </w:rPr>
        <w:tab/>
      </w:r>
      <w:r w:rsidRPr="00BA34C7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4C5799" w:rsidRPr="00BA34C7">
        <w:rPr>
          <w:rFonts w:ascii="Times New Roman" w:hAnsi="Times New Roman" w:cs="Times New Roman"/>
          <w:sz w:val="20"/>
          <w:szCs w:val="20"/>
        </w:rPr>
        <w:t>XI (</w:t>
      </w:r>
      <w:proofErr w:type="spellStart"/>
      <w:r w:rsidR="004C5799" w:rsidRPr="00BA34C7">
        <w:rPr>
          <w:rFonts w:ascii="Times New Roman" w:hAnsi="Times New Roman" w:cs="Times New Roman"/>
          <w:sz w:val="20"/>
          <w:szCs w:val="20"/>
        </w:rPr>
        <w:t>Sebelas</w:t>
      </w:r>
      <w:proofErr w:type="spellEnd"/>
      <w:r w:rsidR="004C5799" w:rsidRPr="00BA34C7">
        <w:rPr>
          <w:rFonts w:ascii="Times New Roman" w:hAnsi="Times New Roman" w:cs="Times New Roman"/>
          <w:sz w:val="20"/>
          <w:szCs w:val="20"/>
        </w:rPr>
        <w:t>)</w:t>
      </w:r>
    </w:p>
    <w:p w:rsidR="0008430D" w:rsidRPr="00BA34C7" w:rsidRDefault="0008430D" w:rsidP="00BA3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A34C7">
        <w:rPr>
          <w:rFonts w:ascii="Times New Roman" w:hAnsi="Times New Roman" w:cs="Times New Roman"/>
          <w:sz w:val="20"/>
          <w:szCs w:val="20"/>
        </w:rPr>
        <w:t>Alokasi</w:t>
      </w:r>
      <w:proofErr w:type="spellEnd"/>
      <w:r w:rsidRPr="00BA34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34C7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BA34C7">
        <w:rPr>
          <w:rFonts w:ascii="Times New Roman" w:hAnsi="Times New Roman" w:cs="Times New Roman"/>
          <w:sz w:val="20"/>
          <w:szCs w:val="20"/>
        </w:rPr>
        <w:tab/>
      </w:r>
      <w:r w:rsidRPr="00BA34C7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gramStart"/>
      <w:r w:rsidRPr="00BA34C7">
        <w:rPr>
          <w:rFonts w:ascii="Times New Roman" w:hAnsi="Times New Roman" w:cs="Times New Roman"/>
          <w:sz w:val="20"/>
          <w:szCs w:val="20"/>
        </w:rPr>
        <w:t>4  jam</w:t>
      </w:r>
      <w:proofErr w:type="gramEnd"/>
      <w:r w:rsidRPr="00BA34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34C7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Pr="00BA34C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A34C7">
        <w:rPr>
          <w:rFonts w:ascii="Times New Roman" w:hAnsi="Times New Roman" w:cs="Times New Roman"/>
          <w:sz w:val="20"/>
          <w:szCs w:val="20"/>
        </w:rPr>
        <w:t>minggu</w:t>
      </w:r>
      <w:proofErr w:type="spellEnd"/>
    </w:p>
    <w:p w:rsidR="00047CAE" w:rsidRPr="00BA34C7" w:rsidRDefault="00047CAE" w:rsidP="00BA3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A34C7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BA34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34C7">
        <w:rPr>
          <w:rFonts w:ascii="Times New Roman" w:hAnsi="Times New Roman" w:cs="Times New Roman"/>
          <w:sz w:val="20"/>
          <w:szCs w:val="20"/>
        </w:rPr>
        <w:t>Inti</w:t>
      </w:r>
      <w:proofErr w:type="spellEnd"/>
      <w:r w:rsidR="00931A38" w:rsidRPr="00BA34C7">
        <w:rPr>
          <w:rFonts w:ascii="Times New Roman" w:hAnsi="Times New Roman" w:cs="Times New Roman"/>
          <w:sz w:val="20"/>
          <w:szCs w:val="20"/>
        </w:rPr>
        <w:tab/>
      </w:r>
      <w:r w:rsidR="00931A38" w:rsidRPr="00BA34C7">
        <w:rPr>
          <w:rFonts w:ascii="Times New Roman" w:hAnsi="Times New Roman" w:cs="Times New Roman"/>
          <w:sz w:val="20"/>
          <w:szCs w:val="20"/>
        </w:rPr>
        <w:tab/>
        <w:t>:</w:t>
      </w:r>
    </w:p>
    <w:p w:rsidR="00E4592E" w:rsidRPr="00335430" w:rsidRDefault="00E4592E" w:rsidP="00E459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KI-1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KI-2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gram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agama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dianutnya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jujur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disiplin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santun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peduli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gotong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royong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kerjasama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toleran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damai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responsif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pro-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berinteraksi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regional,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internasional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”.</w:t>
      </w:r>
    </w:p>
    <w:p w:rsidR="00E4592E" w:rsidRPr="00335430" w:rsidRDefault="00E4592E" w:rsidP="00E459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 3: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faktual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metakognitif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tahunya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seni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budaya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wawasan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kemanusiaan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kenegaraan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peradaban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minatnya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masalah</w:t>
      </w:r>
      <w:proofErr w:type="spellEnd"/>
    </w:p>
    <w:p w:rsidR="00E4592E" w:rsidRPr="00335430" w:rsidRDefault="00E4592E" w:rsidP="00E459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KI4: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menalar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menyaji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konkret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kreatif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keilmuan</w:t>
      </w:r>
      <w:proofErr w:type="spellEnd"/>
    </w:p>
    <w:p w:rsidR="00F17BBD" w:rsidRPr="00BA34C7" w:rsidRDefault="00F17BBD" w:rsidP="00BA34C7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tbl>
      <w:tblPr>
        <w:tblW w:w="4988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71"/>
        <w:gridCol w:w="2904"/>
        <w:gridCol w:w="8801"/>
      </w:tblGrid>
      <w:tr w:rsidR="00E4592E" w:rsidRPr="00BA34C7" w:rsidTr="00E4592E">
        <w:trPr>
          <w:trHeight w:val="397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4592E" w:rsidRPr="00BA34C7" w:rsidRDefault="00E4592E" w:rsidP="00BA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Kompetensi</w:t>
            </w:r>
            <w:proofErr w:type="spellEnd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4592E" w:rsidRPr="00BA34C7" w:rsidRDefault="00E4592E" w:rsidP="00BA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</w:t>
            </w:r>
            <w:proofErr w:type="spellEnd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4592E" w:rsidRPr="00BA34C7" w:rsidRDefault="00E4592E" w:rsidP="00BA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sifat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senyawa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hidrokarbon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kekhasan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atom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karbon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golongan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senyawanya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E4592E" w:rsidRPr="00BA34C7" w:rsidRDefault="00E4592E" w:rsidP="00BA34C7">
            <w:pPr>
              <w:tabs>
                <w:tab w:val="left" w:pos="162"/>
              </w:tabs>
              <w:spacing w:after="0" w:line="240" w:lineRule="auto"/>
              <w:ind w:right="74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BA34C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Senyawa Hidrokarbon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Kekhasan atom karbon.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Atom C primer, sekunder, tertier, dan kuarterner.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Struktur dan tata nama alkana, alkena dan alkuna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Sifat-sifat  fisik alkana, alkena dan alkuna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Isomer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Reaksi senyawa hidrokarbon</w:t>
            </w:r>
          </w:p>
        </w:tc>
        <w:tc>
          <w:tcPr>
            <w:tcW w:w="30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noWrap/>
            <w:hideMark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Mengamati senyawa hidrokarbon dalam kehidupan sehari-hari, misalnya plastik, lilin, dan tabung gas yang berisi elpiji serta nyala api pada kompor gas.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yimak penjelasan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kekhasan atom karbon yang menyebabkan banyaknya senyawa karbon.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jenis  atom C berdasar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softHyphen/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kan jumlah atom C yang terikat  pada rantai atom karbon (atom C primer, sekunder, ter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s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ier, dan kuarterner) dengan menggunakan mol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i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mod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, bahan alam,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atau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  <w:lang w:eastAsia="id-ID"/>
              </w:rPr>
              <w:t>perangkat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  <w:lang w:eastAsia="id-ID"/>
              </w:rPr>
              <w:t>lunak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  <w:lang w:eastAsia="id-ID"/>
              </w:rPr>
              <w:t>kimia</w:t>
            </w:r>
            <w:proofErr w:type="spellEnd"/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(ChemSketch, Chemdraw, atau lainnya).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rumus umum alkana, alkena dan alkuna berdasarkan analisis rumus struktur dan rumus molekul.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Menghubungkan rumus struktur dan rumus molekul dengan rumus umum senyawa hidrokarbon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Membahas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cara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memberi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nama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senyawa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alkana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alkena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alkuna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sesuai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dengan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aturan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IUPAC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keteraturan sifat fisik (titik didih dan titik leleh) senyawa alkana, alkena dan alkuna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Menentukan  isomer senyawa hidrokarbon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Memprediksi jenis isomer (isomer rangka, posisi, fungsi, geometri) dari senyawa hidrokarbon.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Membedakan jenis reaksi alkana, alkena dan alkuna.</w:t>
            </w: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model visual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molekul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hidrokarbon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rumus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molekul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fraksi-fraksi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minyak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bumi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pemisahan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kegunaannya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tabs>
                <w:tab w:val="left" w:pos="252"/>
              </w:tabs>
              <w:spacing w:after="0" w:line="240" w:lineRule="auto"/>
              <w:ind w:right="7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Minyak bumi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Fraksiminyak bumi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Mutu bensin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Dampak pembakaran bahan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bakar  dan cara megatasinya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Senyawahidrokarbon dalam kehidupan sehari-hari.</w:t>
            </w:r>
          </w:p>
        </w:tc>
        <w:tc>
          <w:tcPr>
            <w:tcW w:w="30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</w:pP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lastRenderedPageBreak/>
              <w:t>Mengamati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jenis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bahan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bakar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minyak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(BBM) yang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dijual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di SPBU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</w:pP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id-ID" w:eastAsia="ja-JP"/>
              </w:rPr>
              <w:t xml:space="preserve">Membahas 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proses pembentukan minyak bumi dan cara mengeksplorasiny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id-ID" w:eastAsia="ja-JP"/>
              </w:rPr>
              <w:t>a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Membahas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proses penyulingan minyak bumi secara distilasi bertingkat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Menganalisis proses penyulingan bertingkat untuk menghasilkan  minyak bumi menjadi fraksi-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fraksinya.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</w:pP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id-ID" w:eastAsia="ja-JP"/>
              </w:rPr>
              <w:t>Membahas 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embakaran hidrokarbon yang sempurna dan tidak sempurna serta 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dampaknya terhadap lingkungan, kesehatan dan upaya untuk mengatasinya.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Membandingkan kualitas bensin berdasarkan bilangan oktannya (Premium, Pertamax, dan sebagainya).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</w:pP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Membahas penggunaan bahan bakar alternatif selain minyak bumi dan gas alam.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Menganalisis 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bahan bakar alternatif selain minyak bumi dan gas alam.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Menyimpulkan dampak pembakaran hidrokarbon terhadap lingkungan dan kesehatan serta cara mengatasinya.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Mempresentasikan hasil kerja kelompok tentangminyak bumi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, 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bahan bakar alternatif pengganti minyak bumi dan gas alam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id-ID" w:eastAsia="ja-JP"/>
              </w:rPr>
              <w:t xml:space="preserve"> serta 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 xml:space="preserve">masalah lingkungan 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id-ID" w:eastAsia="ja-JP"/>
              </w:rPr>
              <w:t>yang dis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ebabkan</w:t>
            </w:r>
            <w:r w:rsidRPr="00BA34C7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id-ID" w:eastAsia="ja-JP"/>
              </w:rPr>
              <w:t xml:space="preserve"> oleh penggunaan minyak bumi sebagai bahan bakar.</w:t>
            </w: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4.2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pemisahan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fraksi-fraksi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minyak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bumi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beserta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kegunaannya</w:t>
            </w:r>
            <w:proofErr w:type="spellEnd"/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3.3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pembakaran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hidrokarbon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sempurna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sempurna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sifat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pembakaran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(CO2, CO,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partikulat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karbon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gagasan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mengatasi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dampak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pembakaran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senyawa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karbon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3.4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entalpi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tekanan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persamaan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termokimia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Termokimia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Energi dan kalor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Kalorimetri dan perubahan entalpi reaksi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Persamaan</w:t>
            </w:r>
            <w:r w:rsidRPr="00BA34C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termokimia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Perubahan e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ntalpi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standar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A34C7">
              <w:rPr>
                <w:rFonts w:ascii="Times New Roman" w:hAnsi="Times New Roman" w:cs="Times New Roman"/>
                <w:i/>
                <w:sz w:val="20"/>
                <w:szCs w:val="20"/>
              </w:rPr>
              <w:t>∆H</w:t>
            </w:r>
            <w:r w:rsidRPr="00BA34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A34C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untuk berbagai reaksi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Energi ikatan rata-rata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Penentuan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entalpi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Mengamati demonstrasi reaksi yang membutuhkan kalor dan reaksi yang melepaskan kalor, misalnya reaksi logam Mg dengan larutan HCl dan pelarutan NH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Cl dalam air.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yimak penjelasan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pengertian energi, kalor, sistem, dan lingkungan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yimak penjelasantentang perubahan entalpi,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macam-macam perubahan entalpi standar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, dan persamaan termokimia.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elakukan  percobaan penentuan perubahan entalpi dengan Kalorimeter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melaporkan hasilnya.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Membahas cara menentukan perubahan entalpi reaksi berdasarkan entalpi pembentukan standar, atau energi ikatan berdasarkan hukum Hess.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entukan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perubahan entalpi reaksi berdasarkan entalpi pembentukan standar, atau energi ikatan berdasarkan hukum Hess.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Menganalisis data untuk membuat diagram tingkat energi  suatu reaksi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Membandingkan  entalpi pembakaran (∆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H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c) beberapa bahan bakar.</w:t>
            </w:r>
          </w:p>
          <w:p w:rsidR="00E4592E" w:rsidRPr="00BA34C7" w:rsidRDefault="00E4592E" w:rsidP="00BA34C7">
            <w:pPr>
              <w:spacing w:after="0" w:line="240" w:lineRule="auto"/>
              <w:ind w:left="30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Menyimpulkan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termokima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tekanan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3.5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entalpi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Hess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ikatan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Membandingkan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entalpi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3.6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memengaruhi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laju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tumbukan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Laju Reaksi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dan Faktor-Faktor yang Mempengaruhi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Pengertian dan pengukuran laju reaksi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Teori tumbukan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Faktor-faktor yang mempengaruhi laju reaksi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Hukum laju reaksi dan penentuan laju reaksi</w:t>
            </w:r>
          </w:p>
          <w:p w:rsidR="00E4592E" w:rsidRPr="00BA34C7" w:rsidRDefault="00E4592E" w:rsidP="00BA34C7">
            <w:pPr>
              <w:spacing w:after="0" w:line="240" w:lineRule="auto"/>
              <w:ind w:left="212" w:hanging="212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Mengamati beberapa reaksi  yang terjadi disekitar kita, misalnya kertas dibakar,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pita magnesium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lastRenderedPageBreak/>
              <w:t>dibakar,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kembang api, perubahan warna pada potongan buah apel dan kentang, pembuatan tape, dan besi berkarat.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Menyimak penjelasan tentang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pengertian laju reaksi dan faktor-faktor yang mempengaruhi laju reaksi.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>yimak penjelasan tentang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teori t</w:t>
            </w: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>umbukan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pada reaksi kimia.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Merancang dan melakukan percobaan tentang faktor-faktor yang mempengaruhi laju reaksi (ukuran, konsentrasi, suhu dan katalis) </w:t>
            </w: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>dan melaporkan hasilnya.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Membahas cara menentukan orde reaksi dan persamaan laju reaksi.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Mengolah dan menganalisis data untuk menentukan orde reaksi dan persamaan laju reaksi.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peran katalis dalam reaksi kimia</w:t>
            </w: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di laboratorium dan industri.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>Mempresentasikan cara-cara penyimpanan  zat kimia reaktif (misalnya cara menyimpan logam natrium).</w:t>
            </w:r>
          </w:p>
          <w:p w:rsidR="00E4592E" w:rsidRPr="00BA34C7" w:rsidRDefault="00E4592E" w:rsidP="00BA34C7">
            <w:pPr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4.6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cara-cara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pengaturan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mencegah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fisika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kimia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terkendali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3.7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orde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tetapan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laju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4.7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menyimpulkan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laju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orde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3.8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Kesetimbangan Kimia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Pergeseran Kesetimbangan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Kesetimbangan dinamis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Tetapan kesetimbangan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Pergeseran kesetimbangan dan faktor-faktor  yang mempenga-ruhinya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Perhitungan dan penerapan kesetimbangan kimia</w:t>
            </w:r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Mengamati  demonstrasi  analogi kesetimbangan dinamis (model Heber)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Mengamati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demonstrasi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timbal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sulfat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dengan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kalium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iodida</w:t>
            </w:r>
            <w:proofErr w:type="spellEnd"/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reaksi kesetimbangan dinamis yang terjadi berdasarkan hasil pengamatan.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Menentukan harga tetapan kesetimbangan berdasarkan data hasil percobaan.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Merancang dan melakukan percobaan tentang faktor-faktor yang mempengaruhi arah pergeseran kesetimbangan (konsentrasi, volum, tekanan, dan suhu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) dan melaporkannya.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Melakukan perhitungan kuantitatif yang berkaitan dengan kesetimbangan kimia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Menentukan komposisi zat dalam keadaan setimbang, derajat disosiasi (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sym w:font="Symbol" w:char="F061"/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),  tetapan kesetimbangan (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K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c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K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) dan hubungan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K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c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dengan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K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p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Menerapkan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faktor-faktor yang menggeser arah kesetimbangan untuk mendapatkan hasil optimal dalam industri (proses pembuatan amonia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asam sulfat)</w:t>
            </w:r>
          </w:p>
          <w:p w:rsidR="00E4592E" w:rsidRPr="00BA34C7" w:rsidRDefault="00E4592E" w:rsidP="00BA34C7">
            <w:pPr>
              <w:tabs>
                <w:tab w:val="left" w:pos="255"/>
              </w:tabs>
              <w:spacing w:after="0" w:line="240" w:lineRule="auto"/>
              <w:ind w:left="164" w:hanging="164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pengolahan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tetapan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3.9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pergeseran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industri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4.9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menyimpulkan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pergeseran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3.10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asam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basa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kekuatannya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pengionannya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larutan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252" w:hanging="290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Asam dan Basa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Perkembangan konsep  asam dan basa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Indikator asam-basa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asam kuat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,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basa kuat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,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asam lemah,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dan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basa lemah</w:t>
            </w:r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Mengamati zat-zat yang bersifat asam atau basa dalam kehidupan sehari-hari.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nyimak penjelasan tentang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berbagai konsep asam basa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Membandingkan konsep asam basa menurut Arrhenius, Brønsted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-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Lowry dan Lewis serta menyimpulkannya.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Mengamati perubahan warna indikator dalam berbagai larutan.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bahan alam yang dapat digunakan sebagai indikator.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Merancang dan melakukan percobaan membuat indikator asam basa dari bahan alam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melaporkannya.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Mengidentifikasi beberapa larutan asam basa dengan beberapa indikator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Memprediksi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 larutan dengan menggunakan beberapa indikator.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Menghitung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larutan asam kuat dan larutan basa kuat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Menghitung nilai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K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a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larutan asam lemah atau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K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b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larutan basa lemah yang diketahui konsentrasi dan pHnya.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Mengukur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berbagai larutan asam lemah, asam kuat, basa lemah, dan basa kuat yang konsentrasinya sama dengan menggunakan indikator universal atau pH meter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Menyimpulkan perbedaan asam kuat dengan asam lemah serta basa kuat dengan basa lemah.</w:t>
            </w: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4.10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trayek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pH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indikator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diekstrak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3.11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ion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larutan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garam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menghubungkan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pH-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nya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Kesetimbangan Ion dan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 Larutan Garam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Reaksi pelarutan garam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Garam  yang bersifat netral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Garam  yang bersifat asam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Garam  yang bersifat basa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larutan garam</w:t>
            </w:r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Mengamati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perubahan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warna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indikator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lakmus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merah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lakmus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biru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beberapa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larutan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garam</w:t>
            </w:r>
            <w:proofErr w:type="spellEnd"/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  <w:lang w:val="id-ID"/>
              </w:rPr>
              <w:t xml:space="preserve">Menyimak penjelasan </w:t>
            </w:r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tentang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kesetimbangan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ion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larutan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garam</w:t>
            </w:r>
            <w:proofErr w:type="spellEnd"/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Merancang dan melakukan percobaan untuk memprediksi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larutan garam dengan menggunakan kertas lakmus/indikator universal/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meter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melaporkan hasilnya.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Menuliskan reaksi kesetimbangan ion dalam larutan garam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Menyimpulkan sifat asam-basa dari suatu larutan garam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entukan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 larutan garam </w:t>
            </w: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4.11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Melaporkan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sifat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asam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basa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larutan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garam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3.12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perhitungan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pH,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larutan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penyangga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makhluk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hidup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Larutan Penyangga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Sifat larutan penyangga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pH larutan penyangga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Peranan larutan penyangga dalam tubuh makhluk hidup dan industri (farmasi, kosmetika)</w:t>
            </w:r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Men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gamati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 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larutan penyangga ketika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diencerkan, ditambah sedikit asam atau ditambah sedikit basa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Menyimak penjelasan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tentang cara membuat larutan penyangga dengan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tertentu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Menyimak penjelasan bahwa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 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larutan penyangga tetap ketika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diencerkan, ditambah sedikit asam atau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ditambah sedikit basa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Membandingkan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 larutan penyangga dan larutan bukan penyangga dengan menambah sedikit asam atau basa atau diencerkan.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Menganalisis mekanisme larutan penyangga dalam mempertahankan 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Hnya terhadap penambahan sedikit asam atau sedikit basa atau pengenceran.</w:t>
            </w:r>
          </w:p>
          <w:p w:rsidR="00E4592E" w:rsidRPr="003F2FB3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Merancang dan melakukan percobaan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untuk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membuat larutan penyangga dengan </w:t>
            </w:r>
            <w:r w:rsidRPr="003F2FB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</w:rPr>
              <w:t>Htertentu</w:t>
            </w:r>
            <w:r w:rsidRPr="003F2FB3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melaporkannya.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entukan</w:t>
            </w:r>
            <w:r w:rsidRPr="00BA34C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 larutan penyangga 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peranan larutan penyangga dalam tubuh makhluk hidup dan industri.</w:t>
            </w: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4.12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larutan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penyangga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pH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tertentu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3.13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titrasi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asam-basa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Titrasi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Titrasi asam basa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Kurva titrasi</w:t>
            </w:r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Mengamati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cara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melakukan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titrasi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asam-basa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dapat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>melalui</w:t>
            </w:r>
            <w:proofErr w:type="spellEnd"/>
            <w:r w:rsidRPr="00BA34C7">
              <w:rPr>
                <w:rFonts w:ascii="Times New Roman" w:eastAsia="ヒラギノ角ゴ Pro W3" w:hAnsi="Times New Roman" w:cs="Times New Roman"/>
                <w:bCs/>
                <w:kern w:val="24"/>
                <w:sz w:val="20"/>
                <w:szCs w:val="20"/>
              </w:rPr>
              <w:t xml:space="preserve"> media (video)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Menyimak penjelasan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titik akhir dan titik ekivalen titrasi asam-basa.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Merancang dan m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elakukan percobaan titrasi asam-basa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dan melaporkan hasil percobaan.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Menghitung dan menentukan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titik ekivalen titrasi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,  m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embuat kurva titrasi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serta memilih indikator yang tepat.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Menentukan konsentasi pentiter atau zat yang ditit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rasi.</w:t>
            </w: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4.13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Menyimpulkan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titrasi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asam-basa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3.14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Mengelompokkan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tipe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koloid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kegunaan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koloid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sifat-sifatnya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Sistem Koloid 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Jenis koloid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Sifat koloid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Pembuatan koloid</w:t>
            </w:r>
          </w:p>
          <w:p w:rsidR="00E4592E" w:rsidRPr="00BA34C7" w:rsidRDefault="00E4592E" w:rsidP="00BA34C7">
            <w:pPr>
              <w:numPr>
                <w:ilvl w:val="1"/>
                <w:numId w:val="2"/>
              </w:numPr>
              <w:tabs>
                <w:tab w:val="left" w:pos="162"/>
              </w:tabs>
              <w:spacing w:after="0" w:line="240" w:lineRule="auto"/>
              <w:ind w:left="164" w:right="72" w:hanging="16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Peranan koloid dalam kehidupan sehari-hari dan industry</w:t>
            </w:r>
          </w:p>
        </w:tc>
        <w:tc>
          <w:tcPr>
            <w:tcW w:w="30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Mengamati berbagai jenis produk yang berupa koloi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Membahas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jenis koloid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sifat-sifat koloid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Menghubungkan sistem koloid dengan sifat-sifatnya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Melakukan percobaan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efek Tyndal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l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Membedakan koloid liofob dan koloid hidrofob.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Membahas 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pemurnian koloid, pembuatan koloid, dan peranannya dalam kehidupan sehari-hari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Membahas bahan/zat yang berupa koloid dalam industri farmasi, kosmetik, bahan makanan, dan lain-lain.</w:t>
            </w:r>
          </w:p>
          <w:p w:rsidR="00E4592E" w:rsidRPr="00BA34C7" w:rsidRDefault="00E4592E" w:rsidP="003F2FB3">
            <w:pPr>
              <w:numPr>
                <w:ilvl w:val="0"/>
                <w:numId w:val="15"/>
              </w:numPr>
              <w:spacing w:after="0" w:line="240" w:lineRule="auto"/>
              <w:ind w:left="189" w:hanging="1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elakukan percobaan pembuatan makanan atau produk lain berupa koloid atau yang melibatkan prinsip koloid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melaporkan hasil percobaan</w:t>
            </w:r>
            <w:r w:rsidRPr="00BA34C7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</w:tr>
      <w:tr w:rsidR="00E4592E" w:rsidRPr="00BA34C7" w:rsidTr="00E4592E">
        <w:trPr>
          <w:trHeight w:val="3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4.14 </w:t>
            </w:r>
            <w:r w:rsidRPr="00BA34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makanan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produk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lain yang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berupa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koloid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melibatkan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4C7">
              <w:rPr>
                <w:rFonts w:ascii="Times New Roman" w:hAnsi="Times New Roman" w:cs="Times New Roman"/>
                <w:sz w:val="20"/>
                <w:szCs w:val="20"/>
              </w:rPr>
              <w:t>koloid</w:t>
            </w:r>
            <w:proofErr w:type="spellEnd"/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4592E" w:rsidRPr="00BA34C7" w:rsidRDefault="00E4592E" w:rsidP="00BA34C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05046" w:rsidRPr="00BA34C7" w:rsidRDefault="00905046" w:rsidP="00BA3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05046" w:rsidRPr="00BA34C7" w:rsidSect="00E4592E">
      <w:pgSz w:w="16840" w:h="11907" w:orient="landscape" w:code="9"/>
      <w:pgMar w:top="1440" w:right="110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0C1E"/>
    <w:multiLevelType w:val="hybridMultilevel"/>
    <w:tmpl w:val="047A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0C34"/>
    <w:multiLevelType w:val="hybridMultilevel"/>
    <w:tmpl w:val="9530D9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316DA"/>
    <w:multiLevelType w:val="hybridMultilevel"/>
    <w:tmpl w:val="04BE4D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730B8"/>
    <w:multiLevelType w:val="hybridMultilevel"/>
    <w:tmpl w:val="68D2D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2556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40B4F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1A2980"/>
    <w:multiLevelType w:val="hybridMultilevel"/>
    <w:tmpl w:val="AC0A86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10003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95AC8"/>
    <w:multiLevelType w:val="hybridMultilevel"/>
    <w:tmpl w:val="0E26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C20E3"/>
    <w:multiLevelType w:val="hybridMultilevel"/>
    <w:tmpl w:val="C958E6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735BE"/>
    <w:multiLevelType w:val="hybridMultilevel"/>
    <w:tmpl w:val="135E8456"/>
    <w:lvl w:ilvl="0" w:tplc="08090003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5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3D4E2A89"/>
    <w:multiLevelType w:val="hybridMultilevel"/>
    <w:tmpl w:val="0912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15BD1"/>
    <w:multiLevelType w:val="hybridMultilevel"/>
    <w:tmpl w:val="35F439A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>
    <w:nsid w:val="479860E8"/>
    <w:multiLevelType w:val="hybridMultilevel"/>
    <w:tmpl w:val="348EBAB6"/>
    <w:lvl w:ilvl="0" w:tplc="6CE29E32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>
    <w:nsid w:val="4A3A523E"/>
    <w:multiLevelType w:val="hybridMultilevel"/>
    <w:tmpl w:val="D744EBD2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560D70D1"/>
    <w:multiLevelType w:val="hybridMultilevel"/>
    <w:tmpl w:val="10222A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40A1B"/>
    <w:multiLevelType w:val="hybridMultilevel"/>
    <w:tmpl w:val="E0B62D88"/>
    <w:lvl w:ilvl="0" w:tplc="FFFFFFFF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771663FA"/>
    <w:multiLevelType w:val="hybridMultilevel"/>
    <w:tmpl w:val="3FAAF1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93260"/>
    <w:multiLevelType w:val="hybridMultilevel"/>
    <w:tmpl w:val="90F0CE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5"/>
  </w:num>
  <w:num w:numId="9">
    <w:abstractNumId w:val="13"/>
  </w:num>
  <w:num w:numId="10">
    <w:abstractNumId w:val="7"/>
  </w:num>
  <w:num w:numId="11">
    <w:abstractNumId w:val="14"/>
  </w:num>
  <w:num w:numId="12">
    <w:abstractNumId w:val="11"/>
  </w:num>
  <w:num w:numId="13">
    <w:abstractNumId w:val="0"/>
  </w:num>
  <w:num w:numId="14">
    <w:abstractNumId w:val="8"/>
  </w:num>
  <w:num w:numId="15">
    <w:abstractNumId w:val="2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72DD"/>
    <w:rsid w:val="00013A05"/>
    <w:rsid w:val="00044745"/>
    <w:rsid w:val="00047CAE"/>
    <w:rsid w:val="0008430D"/>
    <w:rsid w:val="0009300B"/>
    <w:rsid w:val="000A777D"/>
    <w:rsid w:val="000B2216"/>
    <w:rsid w:val="000D254E"/>
    <w:rsid w:val="000D45AE"/>
    <w:rsid w:val="000F33CC"/>
    <w:rsid w:val="00165F61"/>
    <w:rsid w:val="001A7A8B"/>
    <w:rsid w:val="001B2D70"/>
    <w:rsid w:val="001D4B5F"/>
    <w:rsid w:val="001E1E04"/>
    <w:rsid w:val="001E72DD"/>
    <w:rsid w:val="001F6903"/>
    <w:rsid w:val="002149D6"/>
    <w:rsid w:val="00226177"/>
    <w:rsid w:val="00236C79"/>
    <w:rsid w:val="00270374"/>
    <w:rsid w:val="002746B3"/>
    <w:rsid w:val="00283D82"/>
    <w:rsid w:val="002A2DB7"/>
    <w:rsid w:val="002B345A"/>
    <w:rsid w:val="002F558D"/>
    <w:rsid w:val="0032688F"/>
    <w:rsid w:val="00360463"/>
    <w:rsid w:val="003901B6"/>
    <w:rsid w:val="003A2F89"/>
    <w:rsid w:val="003B6F66"/>
    <w:rsid w:val="003E3F83"/>
    <w:rsid w:val="003F1CDB"/>
    <w:rsid w:val="003F2FB3"/>
    <w:rsid w:val="003F4021"/>
    <w:rsid w:val="0040085A"/>
    <w:rsid w:val="004019B5"/>
    <w:rsid w:val="004C5799"/>
    <w:rsid w:val="00500206"/>
    <w:rsid w:val="0054629A"/>
    <w:rsid w:val="005C35C3"/>
    <w:rsid w:val="005E45BF"/>
    <w:rsid w:val="006111C0"/>
    <w:rsid w:val="006E72E5"/>
    <w:rsid w:val="00740F43"/>
    <w:rsid w:val="00752597"/>
    <w:rsid w:val="00774AB9"/>
    <w:rsid w:val="00776CF6"/>
    <w:rsid w:val="007A1341"/>
    <w:rsid w:val="007C57C9"/>
    <w:rsid w:val="00863CA1"/>
    <w:rsid w:val="00875C19"/>
    <w:rsid w:val="00905046"/>
    <w:rsid w:val="00916D61"/>
    <w:rsid w:val="00931A38"/>
    <w:rsid w:val="00980D7F"/>
    <w:rsid w:val="00990F89"/>
    <w:rsid w:val="009A1D9F"/>
    <w:rsid w:val="009B1EA2"/>
    <w:rsid w:val="009E0A04"/>
    <w:rsid w:val="009F08F8"/>
    <w:rsid w:val="00A35D9A"/>
    <w:rsid w:val="00A54BC2"/>
    <w:rsid w:val="00A6558F"/>
    <w:rsid w:val="00A81DE9"/>
    <w:rsid w:val="00AD560E"/>
    <w:rsid w:val="00AF0A98"/>
    <w:rsid w:val="00B34016"/>
    <w:rsid w:val="00B71C78"/>
    <w:rsid w:val="00B724C4"/>
    <w:rsid w:val="00B726DA"/>
    <w:rsid w:val="00B90EA1"/>
    <w:rsid w:val="00BA34C7"/>
    <w:rsid w:val="00BE4C1E"/>
    <w:rsid w:val="00C3058B"/>
    <w:rsid w:val="00C57EC7"/>
    <w:rsid w:val="00C70B12"/>
    <w:rsid w:val="00CB5150"/>
    <w:rsid w:val="00D05464"/>
    <w:rsid w:val="00D3623D"/>
    <w:rsid w:val="00D50CED"/>
    <w:rsid w:val="00D613CC"/>
    <w:rsid w:val="00D97C58"/>
    <w:rsid w:val="00DA1F8B"/>
    <w:rsid w:val="00DB6D9A"/>
    <w:rsid w:val="00DD06E3"/>
    <w:rsid w:val="00DD0AAD"/>
    <w:rsid w:val="00DD0B10"/>
    <w:rsid w:val="00DE1396"/>
    <w:rsid w:val="00E16DE8"/>
    <w:rsid w:val="00E4592E"/>
    <w:rsid w:val="00E45F39"/>
    <w:rsid w:val="00E71310"/>
    <w:rsid w:val="00EB08A1"/>
    <w:rsid w:val="00EC7E09"/>
    <w:rsid w:val="00ED18F1"/>
    <w:rsid w:val="00F16ED5"/>
    <w:rsid w:val="00F17BBD"/>
    <w:rsid w:val="00F24BFF"/>
    <w:rsid w:val="00F611A9"/>
    <w:rsid w:val="00F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D16A3-2582-4C99-9BD1-C85900EC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"/>
    <w:basedOn w:val="Normal"/>
    <w:link w:val="ListParagraphChar"/>
    <w:uiPriority w:val="34"/>
    <w:qFormat/>
    <w:rsid w:val="0022617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"/>
    <w:link w:val="ListParagraph"/>
    <w:uiPriority w:val="34"/>
    <w:locked/>
    <w:rsid w:val="003B6F66"/>
  </w:style>
  <w:style w:type="paragraph" w:customStyle="1" w:styleId="Default">
    <w:name w:val="Default"/>
    <w:rsid w:val="003B6F6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3B6F66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B6F66"/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Lenovo</cp:lastModifiedBy>
  <cp:revision>50</cp:revision>
  <dcterms:created xsi:type="dcterms:W3CDTF">2016-08-18T10:03:00Z</dcterms:created>
  <dcterms:modified xsi:type="dcterms:W3CDTF">2020-04-17T23:54:00Z</dcterms:modified>
</cp:coreProperties>
</file>