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38" w:rsidRPr="00C70B12" w:rsidRDefault="00A72C52" w:rsidP="00931A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Bahasa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Indonesia</w:t>
      </w:r>
      <w:r w:rsidR="00931A38" w:rsidRPr="00C70B12">
        <w:rPr>
          <w:rFonts w:ascii="Times New Roman" w:hAnsi="Times New Roman" w:cs="Times New Roman"/>
          <w:b/>
          <w:sz w:val="20"/>
          <w:szCs w:val="20"/>
        </w:rPr>
        <w:tab/>
      </w:r>
    </w:p>
    <w:p w:rsidR="00931A38" w:rsidRPr="00C70B12" w:rsidRDefault="00931A38" w:rsidP="00931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12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C70B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12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C70B12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D06F02">
        <w:rPr>
          <w:rFonts w:ascii="Times New Roman" w:hAnsi="Times New Roman" w:cs="Times New Roman"/>
          <w:sz w:val="20"/>
          <w:szCs w:val="20"/>
        </w:rPr>
        <w:t xml:space="preserve">SMA N 1 </w:t>
      </w:r>
      <w:proofErr w:type="spellStart"/>
      <w:r w:rsidR="00D06F02">
        <w:rPr>
          <w:rFonts w:ascii="Times New Roman" w:hAnsi="Times New Roman" w:cs="Times New Roman"/>
          <w:sz w:val="20"/>
          <w:szCs w:val="20"/>
        </w:rPr>
        <w:t>Siantan</w:t>
      </w:r>
      <w:proofErr w:type="spellEnd"/>
      <w:r w:rsidR="00D06F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6F02">
        <w:rPr>
          <w:rFonts w:ascii="Times New Roman" w:hAnsi="Times New Roman" w:cs="Times New Roman"/>
          <w:sz w:val="20"/>
          <w:szCs w:val="20"/>
        </w:rPr>
        <w:t>Timur</w:t>
      </w:r>
      <w:proofErr w:type="spellEnd"/>
    </w:p>
    <w:p w:rsidR="00931A38" w:rsidRPr="00C70B12" w:rsidRDefault="00931A38" w:rsidP="00931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12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C70B12">
        <w:rPr>
          <w:rFonts w:ascii="Times New Roman" w:hAnsi="Times New Roman" w:cs="Times New Roman"/>
          <w:sz w:val="20"/>
          <w:szCs w:val="20"/>
        </w:rPr>
        <w:tab/>
      </w:r>
      <w:r w:rsidRPr="00C70B12">
        <w:rPr>
          <w:rFonts w:ascii="Times New Roman" w:hAnsi="Times New Roman" w:cs="Times New Roman"/>
          <w:sz w:val="20"/>
          <w:szCs w:val="20"/>
        </w:rPr>
        <w:tab/>
      </w:r>
      <w:r w:rsidRPr="00C70B12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A72C52">
        <w:rPr>
          <w:rFonts w:ascii="Times New Roman" w:hAnsi="Times New Roman" w:cs="Times New Roman"/>
          <w:sz w:val="20"/>
          <w:szCs w:val="20"/>
        </w:rPr>
        <w:t>XII</w:t>
      </w:r>
      <w:bookmarkStart w:id="0" w:name="_GoBack"/>
      <w:bookmarkEnd w:id="0"/>
    </w:p>
    <w:p w:rsidR="00047CAE" w:rsidRDefault="00047CAE" w:rsidP="00931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12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C70B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12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="00931A38" w:rsidRPr="00C70B12">
        <w:rPr>
          <w:rFonts w:ascii="Times New Roman" w:hAnsi="Times New Roman" w:cs="Times New Roman"/>
          <w:sz w:val="20"/>
          <w:szCs w:val="20"/>
        </w:rPr>
        <w:tab/>
      </w:r>
      <w:r w:rsidR="00931A38" w:rsidRPr="00C70B12">
        <w:rPr>
          <w:rFonts w:ascii="Times New Roman" w:hAnsi="Times New Roman" w:cs="Times New Roman"/>
          <w:sz w:val="20"/>
          <w:szCs w:val="20"/>
        </w:rPr>
        <w:tab/>
        <w:t>:</w:t>
      </w:r>
    </w:p>
    <w:p w:rsidR="00821B0B" w:rsidRPr="00335430" w:rsidRDefault="00821B0B" w:rsidP="00821B0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821B0B" w:rsidRPr="00335430" w:rsidRDefault="00821B0B" w:rsidP="00821B0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 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821B0B" w:rsidRPr="00335430" w:rsidRDefault="00821B0B" w:rsidP="00821B0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905046" w:rsidRDefault="00905046" w:rsidP="00931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88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10"/>
        <w:gridCol w:w="3954"/>
        <w:gridCol w:w="4678"/>
      </w:tblGrid>
      <w:tr w:rsidR="00010471" w:rsidRPr="005B46E6" w:rsidTr="00C30AB5">
        <w:trPr>
          <w:trHeight w:val="20"/>
        </w:trPr>
        <w:tc>
          <w:tcPr>
            <w:tcW w:w="1948" w:type="pct"/>
            <w:shd w:val="clear" w:color="auto" w:fill="548DD4" w:themeFill="text2" w:themeFillTint="99"/>
            <w:vAlign w:val="center"/>
          </w:tcPr>
          <w:p w:rsidR="00010471" w:rsidRPr="005B46E6" w:rsidRDefault="00010471" w:rsidP="005B46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Kompetensi</w:t>
            </w:r>
            <w:proofErr w:type="spellEnd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398" w:type="pct"/>
            <w:shd w:val="clear" w:color="auto" w:fill="548DD4" w:themeFill="text2" w:themeFillTint="99"/>
            <w:vAlign w:val="center"/>
          </w:tcPr>
          <w:p w:rsidR="00010471" w:rsidRPr="005B46E6" w:rsidRDefault="00010471" w:rsidP="005B46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Materi</w:t>
            </w:r>
            <w:proofErr w:type="spellEnd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1654" w:type="pct"/>
            <w:shd w:val="clear" w:color="auto" w:fill="548DD4" w:themeFill="text2" w:themeFillTint="99"/>
            <w:vAlign w:val="center"/>
          </w:tcPr>
          <w:p w:rsidR="00010471" w:rsidRPr="005B46E6" w:rsidRDefault="00010471" w:rsidP="005B46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Kegiatan</w:t>
            </w:r>
            <w:proofErr w:type="spellEnd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Pembelajaran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dibaca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Surat Lamaran Pekerjaan: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identifikasi surat 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Isi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Sistematika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Bahasa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Lampiran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Kalimat efektif.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Mendata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Menyimpulkan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proofErr w:type="gram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simpulan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Surat Lamaran Pekerjaan: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unsur kebahasaan;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penulisan EYD;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daftar riwayat hidup.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Mendata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proofErr w:type="gram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disusun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lamaran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  <w:vAlign w:val="center"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orientasi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rangkaian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kejadian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saling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komplikasi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resolusi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Teks cerita (novel) sejarah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struktur teks cerita sejarah;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isi teks cerita sejarah;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nilai-nilai cerita (novel) sejarah;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kebahasaan teks cerita sejarah.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Mendata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rangkaian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kejadian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saling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berkaitan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komplikasi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resolusi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hal-hal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menarikdalam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(novel)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kembali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(novel)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eksplanasi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eksplanasi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disusun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Mengonstruksi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eksplanasi</w:t>
            </w:r>
            <w:proofErr w:type="spellEnd"/>
          </w:p>
        </w:tc>
        <w:tc>
          <w:tcPr>
            <w:tcW w:w="1398" w:type="pct"/>
            <w:vMerge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novel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Teks cerita (novel) sejarah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kebahasaan  cerita (novel) sejarah;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unsur-unsur cerita;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topik;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kerangka karangan.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3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Mendata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tersaji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5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(novel)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pribadi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mengomentari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(novel)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ditulis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Menulis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</w:p>
        </w:tc>
        <w:tc>
          <w:tcPr>
            <w:tcW w:w="1398" w:type="pct"/>
            <w:vMerge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3.5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pendapat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alternatif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solusi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simpulan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editorial</w:t>
            </w:r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 xml:space="preserve"> Editorial: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isi teks editorial;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pendapat;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ragam informasi;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simpulan. 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6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Menemukan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pendapat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alternatif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solusi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simpulan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informasi-informasi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sebagai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editorial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berupa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pendapat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alternatif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solusi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simpulan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informasi-informasi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sebagai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editorial.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Menyeleksi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editorial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</w:tcPr>
          <w:p w:rsidR="00010471" w:rsidRPr="00010471" w:rsidRDefault="00010471" w:rsidP="00E56E1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3.6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editorial</w:t>
            </w:r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 xml:space="preserve"> Editorial: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struktur;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unsur kebahasaan;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topik;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kerangka karangan. 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6"/>
              </w:numPr>
              <w:ind w:left="275" w:hanging="26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Menentukan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editorial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editorial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sesuai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kerangka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stuktur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editorial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disusun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editorial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  <w:vAlign w:val="center"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3.7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Menilai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kumpulan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pendek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kumpulan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puisi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pengayaan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nonfiksi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)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dibaca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Pengayaan</w:t>
            </w:r>
            <w:proofErr w:type="spellEnd"/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nilai-nilai dalam novel (agama, sosial, bud</w:t>
            </w:r>
            <w:r w:rsidRPr="000104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ya, moral, dll);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kaitan nilai dalam novel dengan kehidupan;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amanat dalam novel;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laporan hasil membaca buku.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5B46E6">
            <w:pPr>
              <w:pStyle w:val="ListParagraph"/>
              <w:ind w:left="319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Laporan Hasil Membaca Buku</w:t>
            </w:r>
          </w:p>
          <w:p w:rsidR="00010471" w:rsidRPr="005B46E6" w:rsidRDefault="00010471" w:rsidP="00E56E1E">
            <w:pPr>
              <w:numPr>
                <w:ilvl w:val="0"/>
                <w:numId w:val="8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fiksi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dibaca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10471" w:rsidRPr="005B46E6" w:rsidRDefault="00010471" w:rsidP="00E56E1E">
            <w:pPr>
              <w:numPr>
                <w:ilvl w:val="0"/>
                <w:numId w:val="8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Mempresentasikanlaporan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ditulisnya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depan</w:t>
            </w:r>
            <w:proofErr w:type="spellEnd"/>
            <w:proofErr w:type="gram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kelas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E56E1E">
            <w:pPr>
              <w:numPr>
                <w:ilvl w:val="0"/>
                <w:numId w:val="8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dipresentasikan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4.7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topik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Menafsir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pengarang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novel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dibaca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Pandangan pengarang</w:t>
            </w:r>
          </w:p>
        </w:tc>
        <w:tc>
          <w:tcPr>
            <w:tcW w:w="1654" w:type="pct"/>
            <w:vMerge w:val="restart"/>
            <w:vAlign w:val="bottom"/>
          </w:tcPr>
          <w:p w:rsidR="00010471" w:rsidRPr="005B46E6" w:rsidRDefault="00010471" w:rsidP="00E56E1E">
            <w:pPr>
              <w:numPr>
                <w:ilvl w:val="0"/>
                <w:numId w:val="10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Menentukan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pengarang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kehidupan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novel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dibaca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9"/>
              </w:numPr>
              <w:ind w:left="274" w:hanging="2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pengarang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interpretasi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pengarang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  <w:vAlign w:val="center"/>
          </w:tcPr>
          <w:p w:rsidR="00010471" w:rsidRPr="005B46E6" w:rsidRDefault="00010471" w:rsidP="005B46E6">
            <w:pPr>
              <w:ind w:left="3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3.9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novel</w:t>
            </w:r>
          </w:p>
        </w:tc>
        <w:tc>
          <w:tcPr>
            <w:tcW w:w="1398" w:type="pct"/>
            <w:vMerge w:val="restart"/>
          </w:tcPr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Unsur intrinsik dan ekstrinsik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Unsur kebahasaan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Ungkapan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Majas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Peribahasa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Menemukan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intrinsik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ekstrinsik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ungkapan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majas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peribahasa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novel</w:t>
            </w:r>
          </w:p>
          <w:p w:rsidR="00010471" w:rsidRPr="005B46E6" w:rsidRDefault="00010471" w:rsidP="00E56E1E">
            <w:pPr>
              <w:numPr>
                <w:ilvl w:val="0"/>
                <w:numId w:val="5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novel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berdasarkan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rancangan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mengomentari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intrinsik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novel,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novel 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4.9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novel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novelet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</w:tcPr>
          <w:p w:rsidR="00010471" w:rsidRPr="00010471" w:rsidRDefault="00010471" w:rsidP="00E56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5B46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3.10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Mengevaluasi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fakta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dibaca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Artikel. 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masalah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fakta dan opini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penyusunan opini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topik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masalah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kerangka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2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Mengkritisimasalah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Menulis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pengungkapan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4.10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opini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E56E1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3.11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Artikel: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Masalah;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fakta dan opini;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244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penyusunan opini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topik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masalah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kerangka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Persamaan dan perbedaan penggunaan bahasa.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3"/>
              </w:numPr>
              <w:ind w:left="276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Menemukan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ilmiah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sesuai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fakta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9"/>
              </w:numPr>
              <w:ind w:left="360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4.11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Mengonstruksi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fakta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E56E1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3.12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Membandingkan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sastra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Kritik dan Esai: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 kritik;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jenis-jenis esai;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bagian-bagian esai (pembukaan, isi, penutup);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perbedaan kritik dan esai;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penyusunan kritik dan esai.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5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Menentukan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unsur-unsur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persamaan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perbedaan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pengetahuan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pandangan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4"/>
              </w:numPr>
              <w:ind w:left="276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Menulis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pengetahuan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tertulis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menanggapi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merevisi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telah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ditulis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4.12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E56E1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3.13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esai</w:t>
            </w:r>
            <w:proofErr w:type="spellEnd"/>
          </w:p>
        </w:tc>
        <w:tc>
          <w:tcPr>
            <w:tcW w:w="1398" w:type="pct"/>
            <w:vMerge w:val="restart"/>
          </w:tcPr>
          <w:p w:rsidR="00010471" w:rsidRPr="00010471" w:rsidRDefault="00010471" w:rsidP="005B46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Kritik dan Esai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 kritik dan esai;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jenis-jenis kritik dan esai;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bagian-bagian kritik dan esai (pembukaan, isi, penutup);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perbedaan kritik dan esai; dan</w:t>
            </w:r>
          </w:p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penyusunan kritik dan esai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E56E1E">
            <w:pPr>
              <w:numPr>
                <w:ilvl w:val="0"/>
                <w:numId w:val="15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Menemukan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berdasarkan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konstruksi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</w:p>
          <w:p w:rsidR="00010471" w:rsidRPr="005B46E6" w:rsidRDefault="00010471" w:rsidP="00E56E1E">
            <w:pPr>
              <w:numPr>
                <w:ilvl w:val="0"/>
                <w:numId w:val="1"/>
              </w:numPr>
              <w:ind w:left="276" w:hanging="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Memberikan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berdasarkan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kebahasaan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4.13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Mengonstruksi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esai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memerhatikan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sistematika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kebahasaan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1398" w:type="pct"/>
            <w:vMerge/>
            <w:vAlign w:val="center"/>
          </w:tcPr>
          <w:p w:rsidR="00010471" w:rsidRPr="00010471" w:rsidRDefault="00010471" w:rsidP="005B4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E56E1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3.14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pengayaan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nonfiksi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drama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8" w:type="pct"/>
            <w:vMerge w:val="restart"/>
          </w:tcPr>
          <w:p w:rsidR="00010471" w:rsidRPr="00010471" w:rsidRDefault="00010471" w:rsidP="00E56E1E">
            <w:pPr>
              <w:pStyle w:val="ListParagraph"/>
              <w:numPr>
                <w:ilvl w:val="0"/>
                <w:numId w:val="2"/>
              </w:numPr>
              <w:ind w:left="387" w:hanging="42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1047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Laporan hasil pembacaan buku dan drama fiksi</w:t>
            </w:r>
          </w:p>
        </w:tc>
        <w:tc>
          <w:tcPr>
            <w:tcW w:w="1654" w:type="pct"/>
            <w:vMerge w:val="restart"/>
          </w:tcPr>
          <w:p w:rsidR="00010471" w:rsidRPr="005B46E6" w:rsidRDefault="00010471" w:rsidP="005B46E6">
            <w:pPr>
              <w:pStyle w:val="ListParagraph"/>
              <w:ind w:left="319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Laporan Hasil Membaca Buku</w:t>
            </w:r>
          </w:p>
          <w:p w:rsidR="00010471" w:rsidRPr="005B46E6" w:rsidRDefault="00010471" w:rsidP="00E56E1E">
            <w:pPr>
              <w:numPr>
                <w:ilvl w:val="0"/>
                <w:numId w:val="8"/>
              </w:numPr>
              <w:ind w:left="276" w:hanging="2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Menyusun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berisi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refleksi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kehidupan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nyata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fiksi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nonfiksi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dibaca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10471" w:rsidRPr="005B46E6" w:rsidRDefault="00010471" w:rsidP="005B46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10471" w:rsidRPr="005B46E6" w:rsidRDefault="00010471" w:rsidP="00E56E1E">
            <w:pPr>
              <w:numPr>
                <w:ilvl w:val="0"/>
                <w:numId w:val="8"/>
              </w:numPr>
              <w:ind w:left="394" w:hanging="39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Mempresentasikanlaporan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ditulisnya</w:t>
            </w:r>
            <w:proofErr w:type="spellEnd"/>
          </w:p>
        </w:tc>
      </w:tr>
      <w:tr w:rsidR="00010471" w:rsidRPr="005B46E6" w:rsidTr="00C30AB5">
        <w:trPr>
          <w:trHeight w:val="20"/>
        </w:trPr>
        <w:tc>
          <w:tcPr>
            <w:tcW w:w="1948" w:type="pct"/>
          </w:tcPr>
          <w:p w:rsidR="00010471" w:rsidRPr="005B46E6" w:rsidRDefault="00010471" w:rsidP="005B46E6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4.14 </w:t>
            </w:r>
            <w:r w:rsidRPr="005B46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Menulis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refleksi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nilai-nilai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terkandung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pengayaan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nonfiksi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 xml:space="preserve"> drama (</w:t>
            </w:r>
            <w:proofErr w:type="spellStart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fiksi</w:t>
            </w:r>
            <w:proofErr w:type="spellEnd"/>
            <w:r w:rsidRPr="005B46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8" w:type="pct"/>
            <w:vMerge/>
          </w:tcPr>
          <w:p w:rsidR="00010471" w:rsidRPr="005B46E6" w:rsidRDefault="00010471" w:rsidP="005B46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pct"/>
            <w:vMerge/>
          </w:tcPr>
          <w:p w:rsidR="00010471" w:rsidRPr="005B46E6" w:rsidRDefault="00010471" w:rsidP="005B46E6">
            <w:pPr>
              <w:pStyle w:val="ListParagraph"/>
              <w:ind w:left="319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</w:tbl>
    <w:p w:rsidR="00A72C52" w:rsidRPr="00C70B12" w:rsidRDefault="00A72C52" w:rsidP="00010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2C52" w:rsidRPr="00C70B12" w:rsidSect="00010471">
      <w:pgSz w:w="16840" w:h="11907" w:orient="landscape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03B"/>
    <w:multiLevelType w:val="hybridMultilevel"/>
    <w:tmpl w:val="FD487610"/>
    <w:lvl w:ilvl="0" w:tplc="0421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D4B61"/>
    <w:multiLevelType w:val="hybridMultilevel"/>
    <w:tmpl w:val="0D2CB6CC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755E5"/>
    <w:multiLevelType w:val="hybridMultilevel"/>
    <w:tmpl w:val="79DA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D7063"/>
    <w:multiLevelType w:val="hybridMultilevel"/>
    <w:tmpl w:val="A5C4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65B02"/>
    <w:multiLevelType w:val="hybridMultilevel"/>
    <w:tmpl w:val="6214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77FED"/>
    <w:multiLevelType w:val="hybridMultilevel"/>
    <w:tmpl w:val="F3C0A4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14178"/>
    <w:multiLevelType w:val="hybridMultilevel"/>
    <w:tmpl w:val="D1A8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81B05"/>
    <w:multiLevelType w:val="hybridMultilevel"/>
    <w:tmpl w:val="AA18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970DB"/>
    <w:multiLevelType w:val="hybridMultilevel"/>
    <w:tmpl w:val="159A095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E956A96"/>
    <w:multiLevelType w:val="hybridMultilevel"/>
    <w:tmpl w:val="BF6E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56483"/>
    <w:multiLevelType w:val="hybridMultilevel"/>
    <w:tmpl w:val="95B4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57A88"/>
    <w:multiLevelType w:val="hybridMultilevel"/>
    <w:tmpl w:val="E744B9A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2614D"/>
    <w:multiLevelType w:val="hybridMultilevel"/>
    <w:tmpl w:val="4912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07DD7"/>
    <w:multiLevelType w:val="hybridMultilevel"/>
    <w:tmpl w:val="EE26EA1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5">
    <w:nsid w:val="6B957437"/>
    <w:multiLevelType w:val="hybridMultilevel"/>
    <w:tmpl w:val="733C4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CE7C13"/>
    <w:multiLevelType w:val="hybridMultilevel"/>
    <w:tmpl w:val="35A0BC98"/>
    <w:lvl w:ilvl="0" w:tplc="0421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10"/>
  </w:num>
  <w:num w:numId="16">
    <w:abstractNumId w:val="7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72DD"/>
    <w:rsid w:val="00010471"/>
    <w:rsid w:val="00013A05"/>
    <w:rsid w:val="000272A5"/>
    <w:rsid w:val="00041E91"/>
    <w:rsid w:val="00044745"/>
    <w:rsid w:val="00047CAE"/>
    <w:rsid w:val="00076121"/>
    <w:rsid w:val="0009300B"/>
    <w:rsid w:val="000A777D"/>
    <w:rsid w:val="000B2216"/>
    <w:rsid w:val="000C0946"/>
    <w:rsid w:val="000D45AE"/>
    <w:rsid w:val="00156194"/>
    <w:rsid w:val="00196146"/>
    <w:rsid w:val="001A7A8B"/>
    <w:rsid w:val="001B2D70"/>
    <w:rsid w:val="001E72DD"/>
    <w:rsid w:val="001F6903"/>
    <w:rsid w:val="002149D6"/>
    <w:rsid w:val="00226177"/>
    <w:rsid w:val="00236C79"/>
    <w:rsid w:val="002746B3"/>
    <w:rsid w:val="002911DC"/>
    <w:rsid w:val="002B345A"/>
    <w:rsid w:val="002F558D"/>
    <w:rsid w:val="0032688F"/>
    <w:rsid w:val="00337CC0"/>
    <w:rsid w:val="00360463"/>
    <w:rsid w:val="0037194D"/>
    <w:rsid w:val="00391559"/>
    <w:rsid w:val="003923D5"/>
    <w:rsid w:val="003A2F89"/>
    <w:rsid w:val="003A2FD9"/>
    <w:rsid w:val="003B6F66"/>
    <w:rsid w:val="003E1BCA"/>
    <w:rsid w:val="003E3F83"/>
    <w:rsid w:val="003F4021"/>
    <w:rsid w:val="0040085A"/>
    <w:rsid w:val="00424052"/>
    <w:rsid w:val="0044786C"/>
    <w:rsid w:val="00480126"/>
    <w:rsid w:val="004F78C3"/>
    <w:rsid w:val="0053742F"/>
    <w:rsid w:val="0054629A"/>
    <w:rsid w:val="005B46E6"/>
    <w:rsid w:val="005C35C3"/>
    <w:rsid w:val="005E45BF"/>
    <w:rsid w:val="006111C0"/>
    <w:rsid w:val="00642F1B"/>
    <w:rsid w:val="006E72E5"/>
    <w:rsid w:val="00740F43"/>
    <w:rsid w:val="00750C54"/>
    <w:rsid w:val="00776CF6"/>
    <w:rsid w:val="007A1341"/>
    <w:rsid w:val="0080779A"/>
    <w:rsid w:val="00821B0B"/>
    <w:rsid w:val="00863CA1"/>
    <w:rsid w:val="00875C19"/>
    <w:rsid w:val="00890F24"/>
    <w:rsid w:val="00905046"/>
    <w:rsid w:val="00916D61"/>
    <w:rsid w:val="00924E11"/>
    <w:rsid w:val="00931A38"/>
    <w:rsid w:val="009A1D9F"/>
    <w:rsid w:val="009B1EA2"/>
    <w:rsid w:val="009E0A04"/>
    <w:rsid w:val="009F08F8"/>
    <w:rsid w:val="00A35D9A"/>
    <w:rsid w:val="00A47E04"/>
    <w:rsid w:val="00A54BC2"/>
    <w:rsid w:val="00A6558F"/>
    <w:rsid w:val="00A72C52"/>
    <w:rsid w:val="00A81DE9"/>
    <w:rsid w:val="00AA3584"/>
    <w:rsid w:val="00AD560E"/>
    <w:rsid w:val="00B34016"/>
    <w:rsid w:val="00B67C3D"/>
    <w:rsid w:val="00B71C78"/>
    <w:rsid w:val="00B724C4"/>
    <w:rsid w:val="00BA0691"/>
    <w:rsid w:val="00C003B4"/>
    <w:rsid w:val="00C3058B"/>
    <w:rsid w:val="00C30AB5"/>
    <w:rsid w:val="00C57EC7"/>
    <w:rsid w:val="00C70B12"/>
    <w:rsid w:val="00C91477"/>
    <w:rsid w:val="00CB5150"/>
    <w:rsid w:val="00D06F02"/>
    <w:rsid w:val="00D17B55"/>
    <w:rsid w:val="00D3623D"/>
    <w:rsid w:val="00D421BC"/>
    <w:rsid w:val="00D50CED"/>
    <w:rsid w:val="00D97C58"/>
    <w:rsid w:val="00DA1F8B"/>
    <w:rsid w:val="00DD06E3"/>
    <w:rsid w:val="00DD0AAD"/>
    <w:rsid w:val="00DD0B10"/>
    <w:rsid w:val="00DE1396"/>
    <w:rsid w:val="00DF3FF9"/>
    <w:rsid w:val="00E16DE8"/>
    <w:rsid w:val="00E45F39"/>
    <w:rsid w:val="00E56E1E"/>
    <w:rsid w:val="00E71310"/>
    <w:rsid w:val="00EC7E09"/>
    <w:rsid w:val="00ED18F1"/>
    <w:rsid w:val="00EE0ABD"/>
    <w:rsid w:val="00F1065B"/>
    <w:rsid w:val="00F24BFF"/>
    <w:rsid w:val="00F611A9"/>
    <w:rsid w:val="00F747F5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2261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3B6F66"/>
  </w:style>
  <w:style w:type="paragraph" w:customStyle="1" w:styleId="Default">
    <w:name w:val="Default"/>
    <w:rsid w:val="003B6F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3B6F66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6F66"/>
    <w:rPr>
      <w:rFonts w:eastAsia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asus</cp:lastModifiedBy>
  <cp:revision>64</cp:revision>
  <dcterms:created xsi:type="dcterms:W3CDTF">2016-08-18T10:03:00Z</dcterms:created>
  <dcterms:modified xsi:type="dcterms:W3CDTF">2020-12-19T16:09:00Z</dcterms:modified>
</cp:coreProperties>
</file>